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612A" w:rsidRDefault="00C4612A" w:rsidP="00C4612A">
      <w:pPr>
        <w:jc w:val="right"/>
        <w:rPr>
          <w:rFonts w:ascii="Times New Roman" w:hAnsi="Times New Roman" w:cs="Times New Roman"/>
          <w:b/>
          <w:sz w:val="28"/>
          <w:lang w:val="en-US"/>
        </w:rPr>
      </w:pPr>
      <w:r>
        <w:rPr>
          <w:rFonts w:ascii="Times New Roman" w:hAnsi="Times New Roman" w:cs="Times New Roman"/>
          <w:b/>
          <w:sz w:val="28"/>
          <w:lang w:val="en-US"/>
        </w:rPr>
        <w:t>Information summary</w:t>
      </w:r>
    </w:p>
    <w:p w:rsidR="00C4612A" w:rsidRDefault="00C4612A" w:rsidP="00C4612A">
      <w:pPr>
        <w:jc w:val="right"/>
        <w:rPr>
          <w:rFonts w:ascii="Times New Roman" w:hAnsi="Times New Roman" w:cs="Times New Roman"/>
          <w:b/>
          <w:lang w:val="en-US"/>
        </w:rPr>
      </w:pPr>
    </w:p>
    <w:p w:rsidR="00C4612A" w:rsidRDefault="00C4612A" w:rsidP="00C4612A">
      <w:pPr>
        <w:jc w:val="center"/>
        <w:rPr>
          <w:rFonts w:ascii="Times New Roman" w:hAnsi="Times New Roman" w:cs="Times New Roman"/>
          <w:b/>
          <w:sz w:val="28"/>
          <w:szCs w:val="32"/>
          <w:lang w:val="en-US"/>
        </w:rPr>
      </w:pPr>
      <w:r>
        <w:rPr>
          <w:rFonts w:ascii="Times New Roman" w:hAnsi="Times New Roman" w:cs="Times New Roman"/>
          <w:b/>
          <w:sz w:val="28"/>
          <w:szCs w:val="32"/>
          <w:lang w:val="en-US"/>
        </w:rPr>
        <w:t xml:space="preserve">International cooperation in the field of </w:t>
      </w:r>
      <w:bookmarkStart w:id="0" w:name="_GoBack"/>
      <w:r>
        <w:rPr>
          <w:rFonts w:ascii="Times New Roman" w:hAnsi="Times New Roman" w:cs="Times New Roman"/>
          <w:b/>
          <w:sz w:val="28"/>
          <w:szCs w:val="32"/>
          <w:lang w:val="en-US"/>
        </w:rPr>
        <w:t xml:space="preserve">nuclear education </w:t>
      </w:r>
      <w:bookmarkEnd w:id="0"/>
      <w:r>
        <w:rPr>
          <w:rFonts w:ascii="Times New Roman" w:hAnsi="Times New Roman" w:cs="Times New Roman"/>
          <w:b/>
          <w:sz w:val="28"/>
          <w:szCs w:val="32"/>
          <w:lang w:val="en-US"/>
        </w:rPr>
        <w:t>and training between Russia and Egypt</w:t>
      </w:r>
    </w:p>
    <w:p w:rsidR="00C4612A" w:rsidRDefault="00C4612A" w:rsidP="00C4612A">
      <w:pPr>
        <w:jc w:val="center"/>
        <w:rPr>
          <w:rFonts w:ascii="Times New Roman" w:hAnsi="Times New Roman" w:cs="Times New Roman"/>
          <w:b/>
          <w:sz w:val="28"/>
          <w:szCs w:val="32"/>
          <w:lang w:val="en-US"/>
        </w:rPr>
      </w:pPr>
    </w:p>
    <w:p w:rsidR="00C4612A" w:rsidRDefault="00C4612A" w:rsidP="00C4612A">
      <w:pPr>
        <w:pStyle w:val="a7"/>
        <w:numPr>
          <w:ilvl w:val="0"/>
          <w:numId w:val="1"/>
        </w:numPr>
        <w:spacing w:after="160" w:line="256" w:lineRule="auto"/>
        <w:jc w:val="both"/>
        <w:rPr>
          <w:rFonts w:ascii="Times New Roman" w:hAnsi="Times New Roman" w:cs="Times New Roman"/>
          <w:b/>
          <w:lang w:val="en-US"/>
        </w:rPr>
      </w:pPr>
      <w:r>
        <w:rPr>
          <w:rFonts w:ascii="Times New Roman" w:hAnsi="Times New Roman" w:cs="Times New Roman"/>
          <w:b/>
          <w:lang w:val="en-US"/>
        </w:rPr>
        <w:t>Egyptian students in Russian universities</w:t>
      </w:r>
    </w:p>
    <w:p w:rsidR="00C4612A" w:rsidRDefault="00C4612A" w:rsidP="00C4612A">
      <w:pPr>
        <w:jc w:val="both"/>
        <w:rPr>
          <w:rFonts w:ascii="Times New Roman" w:hAnsi="Times New Roman" w:cs="Times New Roman"/>
          <w:lang w:val="en-US"/>
        </w:rPr>
      </w:pPr>
      <w:r>
        <w:rPr>
          <w:rFonts w:ascii="Times New Roman" w:hAnsi="Times New Roman" w:cs="Times New Roman"/>
          <w:lang w:val="en-US"/>
        </w:rPr>
        <w:t xml:space="preserve">From 2015 to 2024, 192 quotas were allocated through the </w:t>
      </w:r>
      <w:proofErr w:type="spellStart"/>
      <w:r>
        <w:rPr>
          <w:rFonts w:ascii="Times New Roman" w:hAnsi="Times New Roman" w:cs="Times New Roman"/>
          <w:lang w:val="en-US"/>
        </w:rPr>
        <w:t>Rosatom</w:t>
      </w:r>
      <w:proofErr w:type="spellEnd"/>
      <w:r>
        <w:rPr>
          <w:rFonts w:ascii="Times New Roman" w:hAnsi="Times New Roman" w:cs="Times New Roman"/>
          <w:lang w:val="en-US"/>
        </w:rPr>
        <w:t xml:space="preserve"> State Corporation. For the 2025/2026 academic year, it is planned to allocate 5 quotas for the education of Egyptian citizens. The total number of graduates starting from 2018 is 102 people, of which 7 people in 2024.</w:t>
      </w:r>
    </w:p>
    <w:p w:rsidR="00C4612A" w:rsidRDefault="00C4612A" w:rsidP="00C4612A">
      <w:pPr>
        <w:jc w:val="both"/>
        <w:rPr>
          <w:rFonts w:ascii="Times New Roman" w:hAnsi="Times New Roman" w:cs="Times New Roman"/>
          <w:lang w:val="en-US"/>
        </w:rPr>
      </w:pPr>
      <w:r>
        <w:rPr>
          <w:rFonts w:ascii="Times New Roman" w:hAnsi="Times New Roman" w:cs="Times New Roman"/>
          <w:lang w:val="en-US"/>
        </w:rPr>
        <w:t>Many Egyptian citizens who have graduated from Russian universities with nuclear specialties apply to continue their studies in master's and postgraduate programs; master's and postgraduate graduates are able to find employment in national universities, research centers and medical institutions.</w:t>
      </w:r>
    </w:p>
    <w:p w:rsidR="00C4612A" w:rsidRDefault="00C4612A" w:rsidP="00C4612A">
      <w:pPr>
        <w:jc w:val="both"/>
        <w:rPr>
          <w:rFonts w:ascii="Times New Roman" w:hAnsi="Times New Roman" w:cs="Times New Roman"/>
          <w:lang w:val="en-US"/>
        </w:rPr>
      </w:pPr>
      <w:r>
        <w:rPr>
          <w:rFonts w:ascii="Times New Roman" w:hAnsi="Times New Roman" w:cs="Times New Roman"/>
          <w:lang w:val="en-US"/>
        </w:rPr>
        <w:t xml:space="preserve">As of the end of 2024, 43 students from the Arab Republic of Egypt are studying in Russian higher educational institutions on nuclear and other specialized disciplines for the atomic industry as per the quotas of ROSATOM. Students study at the following universities: National Nuclear Research University </w:t>
      </w:r>
      <w:proofErr w:type="spellStart"/>
      <w:r>
        <w:rPr>
          <w:rFonts w:ascii="Times New Roman" w:hAnsi="Times New Roman" w:cs="Times New Roman"/>
          <w:lang w:val="en-US"/>
        </w:rPr>
        <w:t>MEPhI</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UrFU</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SPbPU</w:t>
      </w:r>
      <w:proofErr w:type="spellEnd"/>
      <w:r>
        <w:rPr>
          <w:rFonts w:ascii="Times New Roman" w:hAnsi="Times New Roman" w:cs="Times New Roman"/>
          <w:lang w:val="en-US"/>
        </w:rPr>
        <w:t xml:space="preserve">, TPU, NNSTU </w:t>
      </w:r>
      <w:proofErr w:type="spellStart"/>
      <w:r>
        <w:rPr>
          <w:rFonts w:ascii="Times New Roman" w:hAnsi="Times New Roman" w:cs="Times New Roman"/>
          <w:lang w:val="en-US"/>
        </w:rPr>
        <w:t>n.a.</w:t>
      </w:r>
      <w:proofErr w:type="spellEnd"/>
      <w:r>
        <w:rPr>
          <w:rFonts w:ascii="Times New Roman" w:hAnsi="Times New Roman" w:cs="Times New Roman"/>
          <w:lang w:val="en-US"/>
        </w:rPr>
        <w:t xml:space="preserve"> R.E. Alekseev, Bauman MSTU, MIPT, Kazan National Research Technological University, </w:t>
      </w:r>
      <w:proofErr w:type="spellStart"/>
      <w:r>
        <w:rPr>
          <w:rFonts w:ascii="Times New Roman" w:hAnsi="Times New Roman" w:cs="Times New Roman"/>
          <w:lang w:val="en-US"/>
        </w:rPr>
        <w:t>Polzunov</w:t>
      </w:r>
      <w:proofErr w:type="spellEnd"/>
      <w:r>
        <w:rPr>
          <w:rFonts w:ascii="Times New Roman" w:hAnsi="Times New Roman" w:cs="Times New Roman"/>
          <w:lang w:val="en-US"/>
        </w:rPr>
        <w:t xml:space="preserve"> Altai State Technical University, MPEI.</w:t>
      </w:r>
    </w:p>
    <w:p w:rsidR="00C4612A" w:rsidRDefault="00C4612A" w:rsidP="00C4612A">
      <w:pPr>
        <w:jc w:val="both"/>
        <w:rPr>
          <w:rFonts w:ascii="Times New Roman" w:hAnsi="Times New Roman" w:cs="Times New Roman"/>
          <w:lang w:val="en-US"/>
        </w:rPr>
      </w:pPr>
      <w:r>
        <w:rPr>
          <w:rFonts w:ascii="Times New Roman" w:hAnsi="Times New Roman" w:cs="Times New Roman"/>
          <w:lang w:val="en-US"/>
        </w:rPr>
        <w:t>Already today, about 10 graduates of Russian universities are employed in the energy sector, including in the Egyptian Nuclear Power Plant Authority (NPPA), in contractor organizations and the ASE branch in Egypt.</w:t>
      </w:r>
    </w:p>
    <w:p w:rsidR="00C4612A" w:rsidRDefault="00C4612A" w:rsidP="00C4612A">
      <w:pPr>
        <w:jc w:val="both"/>
        <w:rPr>
          <w:rFonts w:ascii="Times New Roman" w:hAnsi="Times New Roman" w:cs="Times New Roman"/>
          <w:lang w:val="en-US"/>
        </w:rPr>
      </w:pPr>
    </w:p>
    <w:p w:rsidR="00C4612A" w:rsidRDefault="00C4612A" w:rsidP="00C4612A">
      <w:pPr>
        <w:pStyle w:val="a7"/>
        <w:numPr>
          <w:ilvl w:val="0"/>
          <w:numId w:val="1"/>
        </w:numPr>
        <w:spacing w:after="160" w:line="256" w:lineRule="auto"/>
        <w:jc w:val="both"/>
        <w:rPr>
          <w:rFonts w:ascii="Times New Roman" w:hAnsi="Times New Roman" w:cs="Times New Roman"/>
          <w:b/>
          <w:lang w:val="en-US"/>
        </w:rPr>
      </w:pPr>
      <w:r>
        <w:rPr>
          <w:rFonts w:ascii="Times New Roman" w:hAnsi="Times New Roman" w:cs="Times New Roman"/>
          <w:b/>
          <w:bCs/>
          <w:iCs/>
          <w:lang w:val="en-US"/>
        </w:rPr>
        <w:t>Inter-university cooperation</w:t>
      </w:r>
    </w:p>
    <w:p w:rsidR="00C4612A" w:rsidRDefault="00C4612A" w:rsidP="00C4612A">
      <w:pPr>
        <w:jc w:val="both"/>
        <w:rPr>
          <w:rFonts w:ascii="Times New Roman" w:hAnsi="Times New Roman" w:cs="Times New Roman"/>
          <w:lang w:val="en-US"/>
        </w:rPr>
      </w:pPr>
      <w:r>
        <w:rPr>
          <w:rFonts w:ascii="Times New Roman" w:hAnsi="Times New Roman" w:cs="Times New Roman"/>
          <w:lang w:val="en-US"/>
        </w:rPr>
        <w:t xml:space="preserve">In 2018/2019 academic year for the nuclear infrastructure of Egypt, National Nuclear Research University </w:t>
      </w:r>
      <w:proofErr w:type="spellStart"/>
      <w:r>
        <w:rPr>
          <w:rFonts w:ascii="Times New Roman" w:hAnsi="Times New Roman" w:cs="Times New Roman"/>
          <w:lang w:val="en-US"/>
        </w:rPr>
        <w:t>MEPhI</w:t>
      </w:r>
      <w:proofErr w:type="spellEnd"/>
      <w:r>
        <w:rPr>
          <w:rFonts w:ascii="Times New Roman" w:hAnsi="Times New Roman" w:cs="Times New Roman"/>
          <w:lang w:val="en-US"/>
        </w:rPr>
        <w:t xml:space="preserve"> and national Egyptian universities developed and launched 2 programs of joint training of bachelors, including:</w:t>
      </w:r>
    </w:p>
    <w:p w:rsidR="00C4612A" w:rsidRDefault="00C4612A" w:rsidP="00C4612A">
      <w:pPr>
        <w:jc w:val="both"/>
        <w:rPr>
          <w:rFonts w:ascii="Times New Roman" w:hAnsi="Times New Roman" w:cs="Times New Roman"/>
          <w:lang w:val="en-US"/>
        </w:rPr>
      </w:pPr>
      <w:r>
        <w:rPr>
          <w:rFonts w:ascii="Times New Roman" w:hAnsi="Times New Roman" w:cs="Times New Roman"/>
          <w:lang w:val="en-US"/>
        </w:rPr>
        <w:t>1.</w:t>
      </w:r>
      <w:r>
        <w:rPr>
          <w:rFonts w:ascii="Times New Roman" w:hAnsi="Times New Roman" w:cs="Times New Roman"/>
          <w:lang w:val="en-US"/>
        </w:rPr>
        <w:tab/>
        <w:t xml:space="preserve">Joint bachelor's training program “Nuclear Power Station Engineering” with the Egyptian-Russian University, </w:t>
      </w:r>
      <w:proofErr w:type="spellStart"/>
      <w:r>
        <w:rPr>
          <w:rFonts w:ascii="Times New Roman" w:hAnsi="Times New Roman" w:cs="Times New Roman"/>
          <w:lang w:val="en-US"/>
        </w:rPr>
        <w:t>Badr</w:t>
      </w:r>
      <w:proofErr w:type="spellEnd"/>
      <w:r>
        <w:rPr>
          <w:rFonts w:ascii="Times New Roman" w:hAnsi="Times New Roman" w:cs="Times New Roman"/>
          <w:lang w:val="en-US"/>
        </w:rPr>
        <w:t>. A total of 80 Egyptian students were trained.</w:t>
      </w:r>
    </w:p>
    <w:p w:rsidR="00C4612A" w:rsidRDefault="00C4612A" w:rsidP="00C4612A">
      <w:pPr>
        <w:jc w:val="both"/>
        <w:rPr>
          <w:rFonts w:ascii="Times New Roman" w:hAnsi="Times New Roman" w:cs="Times New Roman"/>
          <w:lang w:val="en-US"/>
        </w:rPr>
      </w:pPr>
      <w:r>
        <w:rPr>
          <w:rFonts w:ascii="Times New Roman" w:hAnsi="Times New Roman" w:cs="Times New Roman"/>
          <w:lang w:val="en-US"/>
        </w:rPr>
        <w:t>2.</w:t>
      </w:r>
      <w:r>
        <w:rPr>
          <w:rFonts w:ascii="Times New Roman" w:hAnsi="Times New Roman" w:cs="Times New Roman"/>
          <w:lang w:val="en-US"/>
        </w:rPr>
        <w:tab/>
        <w:t>Joint bachelor's training program “Mechanical Power Engineering (Nuclear Energy theme)” with Ain Shams University, Cairo. A total of 134 Egyptian students were trained.</w:t>
      </w:r>
    </w:p>
    <w:p w:rsidR="00C4612A" w:rsidRDefault="00C4612A" w:rsidP="00C4612A">
      <w:pPr>
        <w:jc w:val="both"/>
        <w:rPr>
          <w:rFonts w:ascii="Times New Roman" w:hAnsi="Times New Roman" w:cs="Times New Roman"/>
          <w:lang w:val="en-US"/>
        </w:rPr>
      </w:pPr>
    </w:p>
    <w:p w:rsidR="00C4612A" w:rsidRDefault="00C4612A" w:rsidP="00C4612A">
      <w:pPr>
        <w:pStyle w:val="a7"/>
        <w:numPr>
          <w:ilvl w:val="0"/>
          <w:numId w:val="1"/>
        </w:numPr>
        <w:spacing w:after="160" w:line="256" w:lineRule="auto"/>
        <w:jc w:val="both"/>
        <w:rPr>
          <w:rFonts w:ascii="Times New Roman" w:hAnsi="Times New Roman" w:cs="Times New Roman"/>
          <w:b/>
          <w:lang w:val="en-US"/>
        </w:rPr>
      </w:pPr>
      <w:r>
        <w:rPr>
          <w:rFonts w:ascii="Times New Roman" w:hAnsi="Times New Roman" w:cs="Times New Roman"/>
          <w:b/>
          <w:lang w:val="en-US"/>
        </w:rPr>
        <w:t>International cooperation</w:t>
      </w:r>
    </w:p>
    <w:p w:rsidR="00C4612A" w:rsidRDefault="00C4612A" w:rsidP="00C4612A">
      <w:pPr>
        <w:jc w:val="both"/>
        <w:rPr>
          <w:rFonts w:ascii="Times New Roman" w:hAnsi="Times New Roman" w:cs="Times New Roman"/>
          <w:lang w:val="en-US"/>
        </w:rPr>
      </w:pPr>
      <w:r>
        <w:rPr>
          <w:rFonts w:ascii="Times New Roman" w:hAnsi="Times New Roman" w:cs="Times New Roman"/>
          <w:lang w:val="en-US"/>
        </w:rPr>
        <w:t xml:space="preserve">In September 2022, the Minister of Higher Education and Scientific Research of the Arab Republic of Egypt, </w:t>
      </w:r>
      <w:proofErr w:type="spellStart"/>
      <w:r>
        <w:rPr>
          <w:rFonts w:ascii="Times New Roman" w:hAnsi="Times New Roman" w:cs="Times New Roman"/>
          <w:lang w:val="en-US"/>
        </w:rPr>
        <w:t>Mr</w:t>
      </w:r>
      <w:proofErr w:type="spellEnd"/>
      <w:r>
        <w:rPr>
          <w:rFonts w:ascii="Times New Roman" w:hAnsi="Times New Roman" w:cs="Times New Roman"/>
          <w:lang w:val="en-US"/>
        </w:rPr>
        <w:t xml:space="preserve"> Mohamed Ayman Ashour, sent to the Minister of Science and Higher Education of the Russian Federation V.N. </w:t>
      </w:r>
      <w:proofErr w:type="spellStart"/>
      <w:r>
        <w:rPr>
          <w:rFonts w:ascii="Times New Roman" w:hAnsi="Times New Roman" w:cs="Times New Roman"/>
          <w:lang w:val="en-US"/>
        </w:rPr>
        <w:t>Falkov</w:t>
      </w:r>
      <w:proofErr w:type="spellEnd"/>
      <w:r>
        <w:rPr>
          <w:rFonts w:ascii="Times New Roman" w:hAnsi="Times New Roman" w:cs="Times New Roman"/>
          <w:lang w:val="en-US"/>
        </w:rPr>
        <w:t xml:space="preserve"> a proposal for the development of bilateral scientific and educational cooperation in the field of nuclear energy, providing for the implementation of a project to establish branches of Russian universities on the basis of Borg El-Arab University of Technology in Alexandria. </w:t>
      </w:r>
    </w:p>
    <w:p w:rsidR="00C4612A" w:rsidRDefault="00C4612A" w:rsidP="00C4612A">
      <w:pPr>
        <w:jc w:val="both"/>
        <w:rPr>
          <w:rFonts w:ascii="Times New Roman" w:hAnsi="Times New Roman" w:cs="Times New Roman"/>
          <w:lang w:val="en-US"/>
        </w:rPr>
      </w:pPr>
      <w:r>
        <w:rPr>
          <w:rFonts w:ascii="Times New Roman" w:hAnsi="Times New Roman" w:cs="Times New Roman"/>
          <w:lang w:val="en-US"/>
        </w:rPr>
        <w:t xml:space="preserve">Currently, the possibility of opening branches of two Russian universities (National Nuclear Research University </w:t>
      </w:r>
      <w:proofErr w:type="spellStart"/>
      <w:r>
        <w:rPr>
          <w:rFonts w:ascii="Times New Roman" w:hAnsi="Times New Roman" w:cs="Times New Roman"/>
          <w:lang w:val="en-US"/>
        </w:rPr>
        <w:t>MEPhI</w:t>
      </w:r>
      <w:proofErr w:type="spellEnd"/>
      <w:r>
        <w:rPr>
          <w:rFonts w:ascii="Times New Roman" w:hAnsi="Times New Roman" w:cs="Times New Roman"/>
          <w:lang w:val="en-US"/>
        </w:rPr>
        <w:t xml:space="preserve"> and Saint Petersburg Electrotechnical University "LETI") is being explored, including with a view to train personnel for the El </w:t>
      </w:r>
      <w:proofErr w:type="spellStart"/>
      <w:r>
        <w:rPr>
          <w:rFonts w:ascii="Times New Roman" w:hAnsi="Times New Roman" w:cs="Times New Roman"/>
          <w:lang w:val="en-US"/>
        </w:rPr>
        <w:t>Dabaa</w:t>
      </w:r>
      <w:proofErr w:type="spellEnd"/>
      <w:r>
        <w:rPr>
          <w:rFonts w:ascii="Times New Roman" w:hAnsi="Times New Roman" w:cs="Times New Roman"/>
          <w:lang w:val="en-US"/>
        </w:rPr>
        <w:t xml:space="preserve"> NPP. </w:t>
      </w:r>
    </w:p>
    <w:p w:rsidR="00C4612A" w:rsidRDefault="00C4612A" w:rsidP="00C4612A">
      <w:pPr>
        <w:jc w:val="both"/>
        <w:rPr>
          <w:rFonts w:ascii="Times New Roman" w:hAnsi="Times New Roman" w:cs="Times New Roman"/>
          <w:lang w:val="en-US"/>
        </w:rPr>
      </w:pPr>
      <w:r>
        <w:rPr>
          <w:rFonts w:ascii="Times New Roman" w:hAnsi="Times New Roman" w:cs="Times New Roman"/>
          <w:lang w:val="en-US"/>
        </w:rPr>
        <w:lastRenderedPageBreak/>
        <w:t xml:space="preserve">On June 13, 2024, Deputy Director General for HR Tatiana </w:t>
      </w:r>
      <w:proofErr w:type="spellStart"/>
      <w:r>
        <w:rPr>
          <w:rFonts w:ascii="Times New Roman" w:hAnsi="Times New Roman" w:cs="Times New Roman"/>
          <w:lang w:val="en-US"/>
        </w:rPr>
        <w:t>Terentieva</w:t>
      </w:r>
      <w:proofErr w:type="spellEnd"/>
      <w:r>
        <w:rPr>
          <w:rFonts w:ascii="Times New Roman" w:hAnsi="Times New Roman" w:cs="Times New Roman"/>
          <w:lang w:val="en-US"/>
        </w:rPr>
        <w:t xml:space="preserve"> met with Mohamed Ayman Ashour, Minister of Higher Education and Scientific Research of Egypt, to discuss the development of cooperation in the field of education, including the need to establish a joint working group to open branches of Russian universities at Borg El-Arab University of Technology (Alexandria). </w:t>
      </w:r>
    </w:p>
    <w:p w:rsidR="00C4612A" w:rsidRDefault="00C4612A" w:rsidP="00C4612A">
      <w:pPr>
        <w:jc w:val="both"/>
        <w:rPr>
          <w:rFonts w:ascii="Times New Roman" w:hAnsi="Times New Roman" w:cs="Times New Roman"/>
          <w:lang w:val="en-US"/>
        </w:rPr>
      </w:pPr>
      <w:r>
        <w:rPr>
          <w:rFonts w:ascii="Times New Roman" w:hAnsi="Times New Roman" w:cs="Times New Roman"/>
          <w:lang w:val="en-US"/>
        </w:rPr>
        <w:t>At the same time, on July 4, 2023, an educational organization (branch) “St. Petersburg State University in Cairo” was opened in Cairo together with the Egyptian group of companies “Modern Group” in accordance with the Federal Law “On M.V. Lomonosov Moscow State University and St. Petersburg State University”. The University currently implements such educational programs of St. Petersburg State University as “General Medicine”, “Pharmacy”, “Dentistry” in full compliance with educational standards.</w:t>
      </w:r>
    </w:p>
    <w:p w:rsidR="00C4612A" w:rsidRDefault="00C4612A" w:rsidP="00C4612A">
      <w:pPr>
        <w:jc w:val="both"/>
        <w:rPr>
          <w:rFonts w:ascii="Times New Roman" w:hAnsi="Times New Roman" w:cs="Times New Roman"/>
          <w:lang w:val="en-US"/>
        </w:rPr>
      </w:pPr>
    </w:p>
    <w:p w:rsidR="00C4612A" w:rsidRDefault="00C4612A" w:rsidP="00C4612A">
      <w:pPr>
        <w:ind w:firstLine="708"/>
        <w:jc w:val="both"/>
        <w:rPr>
          <w:rFonts w:ascii="Times New Roman" w:hAnsi="Times New Roman" w:cs="Times New Roman"/>
          <w:b/>
          <w:lang w:val="en-US"/>
        </w:rPr>
      </w:pPr>
      <w:r>
        <w:rPr>
          <w:rFonts w:ascii="Times New Roman" w:hAnsi="Times New Roman" w:cs="Times New Roman"/>
          <w:b/>
          <w:lang w:val="en-US"/>
        </w:rPr>
        <w:t>4. Training of specialists</w:t>
      </w:r>
    </w:p>
    <w:p w:rsidR="00C4612A" w:rsidRDefault="00C4612A" w:rsidP="00C4612A">
      <w:pPr>
        <w:jc w:val="both"/>
        <w:rPr>
          <w:rFonts w:ascii="Times New Roman" w:hAnsi="Times New Roman" w:cs="Times New Roman"/>
          <w:lang w:val="en-US"/>
        </w:rPr>
      </w:pPr>
      <w:r>
        <w:rPr>
          <w:rFonts w:ascii="Times New Roman" w:hAnsi="Times New Roman" w:cs="Times New Roman"/>
          <w:lang w:val="en-US"/>
        </w:rPr>
        <w:t xml:space="preserve">In order to train personnel for the operation of the El </w:t>
      </w:r>
      <w:proofErr w:type="spellStart"/>
      <w:r>
        <w:rPr>
          <w:rFonts w:ascii="Times New Roman" w:hAnsi="Times New Roman" w:cs="Times New Roman"/>
          <w:lang w:val="en-US"/>
        </w:rPr>
        <w:t>Dabaa</w:t>
      </w:r>
      <w:proofErr w:type="spellEnd"/>
      <w:r>
        <w:rPr>
          <w:rFonts w:ascii="Times New Roman" w:hAnsi="Times New Roman" w:cs="Times New Roman"/>
          <w:lang w:val="en-US"/>
        </w:rPr>
        <w:t xml:space="preserve"> NPP, training of Egyptian experts has been organized at the ANO "</w:t>
      </w:r>
      <w:proofErr w:type="spellStart"/>
      <w:r>
        <w:rPr>
          <w:rFonts w:ascii="Times New Roman" w:hAnsi="Times New Roman" w:cs="Times New Roman"/>
          <w:lang w:val="en-US"/>
        </w:rPr>
        <w:t>Rosatom</w:t>
      </w:r>
      <w:proofErr w:type="spellEnd"/>
      <w:r>
        <w:rPr>
          <w:rFonts w:ascii="Times New Roman" w:hAnsi="Times New Roman" w:cs="Times New Roman"/>
          <w:lang w:val="en-US"/>
        </w:rPr>
        <w:t xml:space="preserve"> Corporate Academy" since 2021. As of December 2024, 173 students were undergoing training for the position, </w:t>
      </w:r>
      <w:r>
        <w:rPr>
          <w:rFonts w:ascii="Times New Roman" w:hAnsi="Times New Roman" w:cs="Times New Roman"/>
          <w:b/>
          <w:bCs/>
          <w:lang w:val="en-US"/>
        </w:rPr>
        <w:t>94 have already completed their studies in the Russian Federation.</w:t>
      </w:r>
      <w:r>
        <w:rPr>
          <w:rFonts w:ascii="Times New Roman" w:hAnsi="Times New Roman" w:cs="Times New Roman"/>
          <w:lang w:val="en-US"/>
        </w:rPr>
        <w:t xml:space="preserve"> In total, 246 participants from Egypt were trained as part of continuing professional education programs from 2010 to 2023.</w:t>
      </w:r>
    </w:p>
    <w:p w:rsidR="006444B1" w:rsidRPr="008A432B" w:rsidRDefault="006444B1">
      <w:pPr>
        <w:rPr>
          <w:lang w:val="en-US"/>
        </w:rPr>
      </w:pPr>
    </w:p>
    <w:sectPr w:rsidR="006444B1" w:rsidRPr="008A432B" w:rsidSect="006444B1">
      <w:headerReference w:type="default" r:id="rId7"/>
      <w:pgSz w:w="11906" w:h="16838"/>
      <w:pgMar w:top="2968"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D3391" w:rsidRDefault="00CD3391" w:rsidP="006906AD">
      <w:r>
        <w:separator/>
      </w:r>
    </w:p>
  </w:endnote>
  <w:endnote w:type="continuationSeparator" w:id="0">
    <w:p w:rsidR="00CD3391" w:rsidRDefault="00CD3391" w:rsidP="006906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D3391" w:rsidRDefault="00CD3391" w:rsidP="006906AD">
      <w:r>
        <w:separator/>
      </w:r>
    </w:p>
  </w:footnote>
  <w:footnote w:type="continuationSeparator" w:id="0">
    <w:p w:rsidR="00CD3391" w:rsidRDefault="00CD3391" w:rsidP="006906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06AD" w:rsidRDefault="000E277D" w:rsidP="006906AD">
    <w:pPr>
      <w:pStyle w:val="ac"/>
      <w:tabs>
        <w:tab w:val="clear" w:pos="4677"/>
        <w:tab w:val="clear" w:pos="9355"/>
        <w:tab w:val="left" w:pos="7374"/>
      </w:tabs>
    </w:pPr>
    <w:r>
      <w:rPr>
        <w:noProof/>
      </w:rPr>
      <w:drawing>
        <wp:anchor distT="0" distB="0" distL="114300" distR="114300" simplePos="0" relativeHeight="251660288" behindDoc="1" locked="0" layoutInCell="1" allowOverlap="1" wp14:anchorId="32FE0F4B">
          <wp:simplePos x="0" y="0"/>
          <wp:positionH relativeFrom="page">
            <wp:posOffset>1259840</wp:posOffset>
          </wp:positionH>
          <wp:positionV relativeFrom="paragraph">
            <wp:posOffset>53975</wp:posOffset>
          </wp:positionV>
          <wp:extent cx="1003300" cy="847090"/>
          <wp:effectExtent l="0" t="0" r="0" b="3810"/>
          <wp:wrapNone/>
          <wp:docPr id="19103800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038002" name="Рисунок 4"/>
                  <pic:cNvPicPr/>
                </pic:nvPicPr>
                <pic:blipFill>
                  <a:blip r:embed="rId1">
                    <a:extLst>
                      <a:ext uri="{28A0092B-C50C-407E-A947-70E740481C1C}">
                        <a14:useLocalDpi xmlns:a14="http://schemas.microsoft.com/office/drawing/2010/main" val="0"/>
                      </a:ext>
                    </a:extLst>
                  </a:blip>
                  <a:stretch>
                    <a:fillRect/>
                  </a:stretch>
                </pic:blipFill>
                <pic:spPr>
                  <a:xfrm>
                    <a:off x="0" y="0"/>
                    <a:ext cx="1003300" cy="847090"/>
                  </a:xfrm>
                  <a:prstGeom prst="rect">
                    <a:avLst/>
                  </a:prstGeom>
                </pic:spPr>
              </pic:pic>
            </a:graphicData>
          </a:graphic>
          <wp14:sizeRelH relativeFrom="margin">
            <wp14:pctWidth>0</wp14:pctWidth>
          </wp14:sizeRelH>
          <wp14:sizeRelV relativeFrom="margin">
            <wp14:pctHeight>0</wp14:pctHeight>
          </wp14:sizeRelV>
        </wp:anchor>
      </w:drawing>
    </w:r>
    <w:r w:rsidR="00C648E4">
      <w:rPr>
        <w:noProof/>
      </w:rPr>
      <w:drawing>
        <wp:anchor distT="0" distB="0" distL="114300" distR="114300" simplePos="0" relativeHeight="251659264" behindDoc="1" locked="0" layoutInCell="1" allowOverlap="1">
          <wp:simplePos x="0" y="0"/>
          <wp:positionH relativeFrom="column">
            <wp:posOffset>1820545</wp:posOffset>
          </wp:positionH>
          <wp:positionV relativeFrom="paragraph">
            <wp:posOffset>-309245</wp:posOffset>
          </wp:positionV>
          <wp:extent cx="1725295" cy="1687195"/>
          <wp:effectExtent l="0" t="0" r="1905" b="1905"/>
          <wp:wrapNone/>
          <wp:docPr id="102242296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2422964" name="Рисунок 3"/>
                  <pic:cNvPicPr/>
                </pic:nvPicPr>
                <pic:blipFill>
                  <a:blip r:embed="rId2">
                    <a:extLst>
                      <a:ext uri="{28A0092B-C50C-407E-A947-70E740481C1C}">
                        <a14:useLocalDpi xmlns:a14="http://schemas.microsoft.com/office/drawing/2010/main" val="0"/>
                      </a:ext>
                    </a:extLst>
                  </a:blip>
                  <a:stretch>
                    <a:fillRect/>
                  </a:stretch>
                </pic:blipFill>
                <pic:spPr>
                  <a:xfrm>
                    <a:off x="0" y="0"/>
                    <a:ext cx="1725295" cy="1687195"/>
                  </a:xfrm>
                  <a:prstGeom prst="rect">
                    <a:avLst/>
                  </a:prstGeom>
                </pic:spPr>
              </pic:pic>
            </a:graphicData>
          </a:graphic>
          <wp14:sizeRelH relativeFrom="margin">
            <wp14:pctWidth>0</wp14:pctWidth>
          </wp14:sizeRelH>
          <wp14:sizeRelV relativeFrom="margin">
            <wp14:pctHeight>0</wp14:pctHeight>
          </wp14:sizeRelV>
        </wp:anchor>
      </w:drawing>
    </w:r>
    <w:r w:rsidR="006444B1">
      <w:rPr>
        <w:noProof/>
      </w:rPr>
      <w:drawing>
        <wp:anchor distT="0" distB="0" distL="114300" distR="114300" simplePos="0" relativeHeight="251661312" behindDoc="1" locked="0" layoutInCell="1" allowOverlap="1">
          <wp:simplePos x="0" y="0"/>
          <wp:positionH relativeFrom="page">
            <wp:posOffset>5168138</wp:posOffset>
          </wp:positionH>
          <wp:positionV relativeFrom="paragraph">
            <wp:posOffset>42545</wp:posOffset>
          </wp:positionV>
          <wp:extent cx="1104900" cy="780415"/>
          <wp:effectExtent l="0" t="0" r="0" b="0"/>
          <wp:wrapNone/>
          <wp:docPr id="2081930263"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1930263" name="Рисунок 2081930263"/>
                  <pic:cNvPicPr/>
                </pic:nvPicPr>
                <pic:blipFill>
                  <a:blip r:embed="rId3">
                    <a:extLst>
                      <a:ext uri="{28A0092B-C50C-407E-A947-70E740481C1C}">
                        <a14:useLocalDpi xmlns:a14="http://schemas.microsoft.com/office/drawing/2010/main" val="0"/>
                      </a:ext>
                    </a:extLst>
                  </a:blip>
                  <a:stretch>
                    <a:fillRect/>
                  </a:stretch>
                </pic:blipFill>
                <pic:spPr>
                  <a:xfrm>
                    <a:off x="0" y="0"/>
                    <a:ext cx="1104900" cy="780415"/>
                  </a:xfrm>
                  <a:prstGeom prst="rect">
                    <a:avLst/>
                  </a:prstGeom>
                </pic:spPr>
              </pic:pic>
            </a:graphicData>
          </a:graphic>
          <wp14:sizeRelH relativeFrom="margin">
            <wp14:pctWidth>0</wp14:pctWidth>
          </wp14:sizeRelH>
          <wp14:sizeRelV relativeFrom="margin">
            <wp14:pctHeight>0</wp14:pctHeight>
          </wp14:sizeRelV>
        </wp:anchor>
      </w:drawing>
    </w:r>
    <w:r w:rsidR="006906AD">
      <w:t xml:space="preserve">                                        </w:t>
    </w:r>
    <w:r w:rsidR="006906AD">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4E282F"/>
    <w:multiLevelType w:val="hybridMultilevel"/>
    <w:tmpl w:val="9EE646B8"/>
    <w:lvl w:ilvl="0" w:tplc="905CA01A">
      <w:start w:val="1"/>
      <w:numFmt w:val="decimal"/>
      <w:lvlText w:val="%1."/>
      <w:lvlJc w:val="left"/>
      <w:pPr>
        <w:ind w:left="720" w:hanging="360"/>
      </w:pPr>
    </w:lvl>
    <w:lvl w:ilvl="1" w:tplc="AC26E390">
      <w:start w:val="1"/>
      <w:numFmt w:val="lowerLetter"/>
      <w:lvlText w:val="%2."/>
      <w:lvlJc w:val="left"/>
      <w:pPr>
        <w:ind w:left="1440" w:hanging="360"/>
      </w:pPr>
    </w:lvl>
    <w:lvl w:ilvl="2" w:tplc="957662B0">
      <w:start w:val="1"/>
      <w:numFmt w:val="lowerRoman"/>
      <w:lvlText w:val="%3."/>
      <w:lvlJc w:val="right"/>
      <w:pPr>
        <w:ind w:left="2160" w:hanging="180"/>
      </w:pPr>
    </w:lvl>
    <w:lvl w:ilvl="3" w:tplc="87D47B26">
      <w:start w:val="1"/>
      <w:numFmt w:val="decimal"/>
      <w:lvlText w:val="%4."/>
      <w:lvlJc w:val="left"/>
      <w:pPr>
        <w:ind w:left="2880" w:hanging="360"/>
      </w:pPr>
    </w:lvl>
    <w:lvl w:ilvl="4" w:tplc="C49C11BA">
      <w:start w:val="1"/>
      <w:numFmt w:val="lowerLetter"/>
      <w:lvlText w:val="%5."/>
      <w:lvlJc w:val="left"/>
      <w:pPr>
        <w:ind w:left="3600" w:hanging="360"/>
      </w:pPr>
    </w:lvl>
    <w:lvl w:ilvl="5" w:tplc="5B264934">
      <w:start w:val="1"/>
      <w:numFmt w:val="lowerRoman"/>
      <w:lvlText w:val="%6."/>
      <w:lvlJc w:val="right"/>
      <w:pPr>
        <w:ind w:left="4320" w:hanging="180"/>
      </w:pPr>
    </w:lvl>
    <w:lvl w:ilvl="6" w:tplc="A052D0AA">
      <w:start w:val="1"/>
      <w:numFmt w:val="decimal"/>
      <w:lvlText w:val="%7."/>
      <w:lvlJc w:val="left"/>
      <w:pPr>
        <w:ind w:left="5040" w:hanging="360"/>
      </w:pPr>
    </w:lvl>
    <w:lvl w:ilvl="7" w:tplc="C8E6AD34">
      <w:start w:val="1"/>
      <w:numFmt w:val="lowerLetter"/>
      <w:lvlText w:val="%8."/>
      <w:lvlJc w:val="left"/>
      <w:pPr>
        <w:ind w:left="5760" w:hanging="360"/>
      </w:pPr>
    </w:lvl>
    <w:lvl w:ilvl="8" w:tplc="538CAE40">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06AD"/>
    <w:rsid w:val="000E277D"/>
    <w:rsid w:val="00205B2C"/>
    <w:rsid w:val="00283194"/>
    <w:rsid w:val="0036524B"/>
    <w:rsid w:val="004B6CA1"/>
    <w:rsid w:val="004C3D75"/>
    <w:rsid w:val="00635DC9"/>
    <w:rsid w:val="006444B1"/>
    <w:rsid w:val="006906AD"/>
    <w:rsid w:val="0087676C"/>
    <w:rsid w:val="008A432B"/>
    <w:rsid w:val="008F1FCC"/>
    <w:rsid w:val="009175FF"/>
    <w:rsid w:val="00A77349"/>
    <w:rsid w:val="00B32902"/>
    <w:rsid w:val="00B857DF"/>
    <w:rsid w:val="00C4612A"/>
    <w:rsid w:val="00C648E4"/>
    <w:rsid w:val="00CD3391"/>
    <w:rsid w:val="00CD68F7"/>
    <w:rsid w:val="00D00928"/>
    <w:rsid w:val="00FA3260"/>
    <w:rsid w:val="00FB2D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CBA208"/>
  <w15:chartTrackingRefBased/>
  <w15:docId w15:val="{18E315F6-4776-A74B-B612-605959D67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4"/>
        <w:szCs w:val="24"/>
        <w:lang w:val="ru-RU" w:eastAsia="en-US"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6906A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6906A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6906AD"/>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6906AD"/>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6906AD"/>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6906AD"/>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6906AD"/>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6906AD"/>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6906AD"/>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906AD"/>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6906AD"/>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6906AD"/>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6906AD"/>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6906AD"/>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6906AD"/>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6906AD"/>
    <w:rPr>
      <w:rFonts w:eastAsiaTheme="majorEastAsia" w:cstheme="majorBidi"/>
      <w:color w:val="595959" w:themeColor="text1" w:themeTint="A6"/>
    </w:rPr>
  </w:style>
  <w:style w:type="character" w:customStyle="1" w:styleId="80">
    <w:name w:val="Заголовок 8 Знак"/>
    <w:basedOn w:val="a0"/>
    <w:link w:val="8"/>
    <w:uiPriority w:val="9"/>
    <w:semiHidden/>
    <w:rsid w:val="006906AD"/>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6906AD"/>
    <w:rPr>
      <w:rFonts w:eastAsiaTheme="majorEastAsia" w:cstheme="majorBidi"/>
      <w:color w:val="272727" w:themeColor="text1" w:themeTint="D8"/>
    </w:rPr>
  </w:style>
  <w:style w:type="paragraph" w:styleId="a3">
    <w:name w:val="Title"/>
    <w:basedOn w:val="a"/>
    <w:next w:val="a"/>
    <w:link w:val="a4"/>
    <w:uiPriority w:val="10"/>
    <w:qFormat/>
    <w:rsid w:val="006906AD"/>
    <w:pPr>
      <w:spacing w:after="80"/>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6906A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906AD"/>
    <w:pPr>
      <w:numPr>
        <w:ilvl w:val="1"/>
      </w:numPr>
      <w:spacing w:after="160"/>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6906AD"/>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6906AD"/>
    <w:pPr>
      <w:spacing w:before="160" w:after="160"/>
      <w:jc w:val="center"/>
    </w:pPr>
    <w:rPr>
      <w:i/>
      <w:iCs/>
      <w:color w:val="404040" w:themeColor="text1" w:themeTint="BF"/>
    </w:rPr>
  </w:style>
  <w:style w:type="character" w:customStyle="1" w:styleId="22">
    <w:name w:val="Цитата 2 Знак"/>
    <w:basedOn w:val="a0"/>
    <w:link w:val="21"/>
    <w:uiPriority w:val="29"/>
    <w:rsid w:val="006906AD"/>
    <w:rPr>
      <w:i/>
      <w:iCs/>
      <w:color w:val="404040" w:themeColor="text1" w:themeTint="BF"/>
    </w:rPr>
  </w:style>
  <w:style w:type="paragraph" w:styleId="a7">
    <w:name w:val="List Paragraph"/>
    <w:basedOn w:val="a"/>
    <w:uiPriority w:val="34"/>
    <w:qFormat/>
    <w:rsid w:val="006906AD"/>
    <w:pPr>
      <w:ind w:left="720"/>
      <w:contextualSpacing/>
    </w:pPr>
  </w:style>
  <w:style w:type="character" w:styleId="a8">
    <w:name w:val="Intense Emphasis"/>
    <w:basedOn w:val="a0"/>
    <w:uiPriority w:val="21"/>
    <w:qFormat/>
    <w:rsid w:val="006906AD"/>
    <w:rPr>
      <w:i/>
      <w:iCs/>
      <w:color w:val="2F5496" w:themeColor="accent1" w:themeShade="BF"/>
    </w:rPr>
  </w:style>
  <w:style w:type="paragraph" w:styleId="a9">
    <w:name w:val="Intense Quote"/>
    <w:basedOn w:val="a"/>
    <w:next w:val="a"/>
    <w:link w:val="aa"/>
    <w:uiPriority w:val="30"/>
    <w:qFormat/>
    <w:rsid w:val="006906A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6906AD"/>
    <w:rPr>
      <w:i/>
      <w:iCs/>
      <w:color w:val="2F5496" w:themeColor="accent1" w:themeShade="BF"/>
    </w:rPr>
  </w:style>
  <w:style w:type="character" w:styleId="ab">
    <w:name w:val="Intense Reference"/>
    <w:basedOn w:val="a0"/>
    <w:uiPriority w:val="32"/>
    <w:qFormat/>
    <w:rsid w:val="006906AD"/>
    <w:rPr>
      <w:b/>
      <w:bCs/>
      <w:smallCaps/>
      <w:color w:val="2F5496" w:themeColor="accent1" w:themeShade="BF"/>
      <w:spacing w:val="5"/>
    </w:rPr>
  </w:style>
  <w:style w:type="paragraph" w:styleId="ac">
    <w:name w:val="header"/>
    <w:basedOn w:val="a"/>
    <w:link w:val="ad"/>
    <w:uiPriority w:val="99"/>
    <w:unhideWhenUsed/>
    <w:rsid w:val="006906AD"/>
    <w:pPr>
      <w:tabs>
        <w:tab w:val="center" w:pos="4677"/>
        <w:tab w:val="right" w:pos="9355"/>
      </w:tabs>
    </w:pPr>
  </w:style>
  <w:style w:type="character" w:customStyle="1" w:styleId="ad">
    <w:name w:val="Верхний колонтитул Знак"/>
    <w:basedOn w:val="a0"/>
    <w:link w:val="ac"/>
    <w:uiPriority w:val="99"/>
    <w:rsid w:val="006906AD"/>
  </w:style>
  <w:style w:type="paragraph" w:styleId="ae">
    <w:name w:val="footer"/>
    <w:basedOn w:val="a"/>
    <w:link w:val="af"/>
    <w:uiPriority w:val="99"/>
    <w:unhideWhenUsed/>
    <w:rsid w:val="006906AD"/>
    <w:pPr>
      <w:tabs>
        <w:tab w:val="center" w:pos="4677"/>
        <w:tab w:val="right" w:pos="9355"/>
      </w:tabs>
    </w:pPr>
  </w:style>
  <w:style w:type="character" w:customStyle="1" w:styleId="af">
    <w:name w:val="Нижний колонтитул Знак"/>
    <w:basedOn w:val="a0"/>
    <w:link w:val="ae"/>
    <w:uiPriority w:val="99"/>
    <w:rsid w:val="006906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8329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619</Words>
  <Characters>3533</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VDI</cp:lastModifiedBy>
  <cp:revision>2</cp:revision>
  <dcterms:created xsi:type="dcterms:W3CDTF">2025-02-25T15:09:00Z</dcterms:created>
  <dcterms:modified xsi:type="dcterms:W3CDTF">2025-02-25T15:09:00Z</dcterms:modified>
</cp:coreProperties>
</file>