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3445.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tblGridChange w:id="0">
          <w:tblGrid>
            <w:gridCol w:w="34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396" w:firstLine="287"/>
              <w:rPr/>
            </w:pPr>
            <w:r w:rsidDel="00000000" w:rsidR="00000000" w:rsidRPr="00000000">
              <w:rPr/>
              <w:drawing>
                <wp:inline distB="0" distT="0" distL="0" distR="0">
                  <wp:extent cx="2119931" cy="56243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19931" cy="56243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ind w:left="-284" w:firstLine="0"/>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MEDIA KIT</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ABOUT GIC</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Global Impact Conference (GIC) is an international platform that brings together experts in the field of sustainable development to find solutions to overcome the key challenges of socio-economic development. GIC 2020 “Energy for Impact” and GIC 2021 “Bridging the Gaps” laid the foundation for this discussion platform. In 2021 the online broadcast of the conference was watched by 750 thousand viewers, and the total coverage exceeded 30 million people. This year, the GIC will be held on the 15th anniversary of the State Corporation "Rosatom" and will bring together international experts to discuss this year’s theme, “Education X: Catalyst of the Future”.</w:t>
      </w:r>
    </w:p>
    <w:p w:rsidR="00000000" w:rsidDel="00000000" w:rsidP="00000000" w:rsidRDefault="00000000" w:rsidRPr="00000000" w14:paraId="0000000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Global Impact Conference is hosted by the Rosatom Corporate Academy.</w:t>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GIC 2022 “Education X: Catalyst of the Future”</w:t>
      </w:r>
    </w:p>
    <w:p w:rsidR="00000000" w:rsidDel="00000000" w:rsidP="00000000" w:rsidRDefault="00000000" w:rsidRPr="00000000" w14:paraId="0000000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live in the age of a knowledge economy when against the backdrop of increasing complexity around the world, the only sustainable competitive advantage is а high quality education.</w:t>
      </w:r>
    </w:p>
    <w:p w:rsidR="00000000" w:rsidDel="00000000" w:rsidP="00000000" w:rsidRDefault="00000000" w:rsidRPr="00000000" w14:paraId="0000001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cope with the unprecedented changes of recent years and meet the demands of the future, education systems need to be transformed.</w:t>
      </w:r>
    </w:p>
    <w:p w:rsidR="00000000" w:rsidDel="00000000" w:rsidP="00000000" w:rsidRDefault="00000000" w:rsidRPr="00000000" w14:paraId="00000013">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goal of GIC 2022 is to discuss with experts from different countries effective tools that will enable regions and population groups with limited opportunities to increase their access to quality education.</w:t>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GIC 2022 will be broadcast online worldwide this Thursday, December 1, </w:t>
      </w:r>
      <w:r w:rsidDel="00000000" w:rsidR="00000000" w:rsidRPr="00000000">
        <w:rPr>
          <w:rFonts w:ascii="Roboto" w:cs="Roboto" w:eastAsia="Roboto" w:hAnsi="Roboto"/>
          <w:sz w:val="21"/>
          <w:szCs w:val="21"/>
          <w:highlight w:val="white"/>
          <w:rtl w:val="0"/>
        </w:rPr>
        <w:t xml:space="preserve">starting at 9:00 am UTC + 3</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event will be attended by more than 30 academics, educators, representatives of the business community, and culture and art spheres from 20 countries: India, China, Russia, Turkey, UAE, Oman, Armenia, Kazakhstan, South Africa, Brazil, Vietnam, Egypt, and other countries from Latin America and Africa.</w:t>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Program of GIC 2022</w:t>
      </w:r>
    </w:p>
    <w:p w:rsidR="00000000" w:rsidDel="00000000" w:rsidP="00000000" w:rsidRDefault="00000000" w:rsidRPr="00000000" w14:paraId="0000001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Pitch session of the finalists of the Innovation in Education Competition</w:t>
      </w:r>
    </w:p>
    <w:p w:rsidR="00000000" w:rsidDel="00000000" w:rsidP="00000000" w:rsidRDefault="00000000" w:rsidRPr="00000000" w14:paraId="0000001D">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Welcome speeches</w:t>
      </w:r>
    </w:p>
    <w:p w:rsidR="00000000" w:rsidDel="00000000" w:rsidP="00000000" w:rsidRDefault="00000000" w:rsidRPr="00000000" w14:paraId="0000001E">
      <w:pPr>
        <w:numPr>
          <w:ilvl w:val="1"/>
          <w:numId w:val="1"/>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Gleb Nikitin, Governor of Nizhny Novgorod region</w:t>
      </w:r>
    </w:p>
    <w:p w:rsidR="00000000" w:rsidDel="00000000" w:rsidP="00000000" w:rsidRDefault="00000000" w:rsidRPr="00000000" w14:paraId="0000001F">
      <w:pPr>
        <w:numPr>
          <w:ilvl w:val="1"/>
          <w:numId w:val="1"/>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Alexey Likhachev, Director-General of Rosatom</w:t>
      </w:r>
    </w:p>
    <w:p w:rsidR="00000000" w:rsidDel="00000000" w:rsidP="00000000" w:rsidRDefault="00000000" w:rsidRPr="00000000" w14:paraId="00000020">
      <w:pPr>
        <w:numPr>
          <w:ilvl w:val="1"/>
          <w:numId w:val="1"/>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Natalia Dorpeko, Executive Director, Association "National Network of the Global Compact"</w:t>
      </w:r>
    </w:p>
    <w:p w:rsidR="00000000" w:rsidDel="00000000" w:rsidP="00000000" w:rsidRDefault="00000000" w:rsidRPr="00000000" w14:paraId="00000021">
      <w:pPr>
        <w:numPr>
          <w:ilvl w:val="1"/>
          <w:numId w:val="1"/>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Rachid Alouach, Human Rights Officer, Joint Programme of the Russian Federation and the Office of the United Nations High Commissioner for Human Rights</w:t>
      </w:r>
    </w:p>
    <w:p w:rsidR="00000000" w:rsidDel="00000000" w:rsidP="00000000" w:rsidRDefault="00000000" w:rsidRPr="00000000" w14:paraId="00000022">
      <w:pPr>
        <w:spacing w:line="276"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Opening plenary session: </w:t>
      </w:r>
      <w:r w:rsidDel="00000000" w:rsidR="00000000" w:rsidRPr="00000000">
        <w:rPr>
          <w:rFonts w:ascii="Arial" w:cs="Arial" w:eastAsia="Arial" w:hAnsi="Arial"/>
          <w:sz w:val="22"/>
          <w:szCs w:val="22"/>
          <w:highlight w:val="white"/>
          <w:rtl w:val="0"/>
        </w:rPr>
        <w:t xml:space="preserve">Connecting With Humanity: Art, Science, and Business</w:t>
      </w:r>
      <w:r w:rsidDel="00000000" w:rsidR="00000000" w:rsidRPr="00000000">
        <w:rPr>
          <w:rtl w:val="0"/>
        </w:rPr>
      </w:r>
    </w:p>
    <w:p w:rsidR="00000000" w:rsidDel="00000000" w:rsidP="00000000" w:rsidRDefault="00000000" w:rsidRPr="00000000" w14:paraId="00000024">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ind w:left="720" w:firstLine="0"/>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It is said that development is inspired by ambitious goals, serious challenges and demanding role models. While humanity will always yearn for some kind of utopia, it is often crises that really bring out our capacity for groundbreaking innovation in all areas of society, science and the economy, and for setting new cultural trends. How do people change in times of change? How do cultures change, and what is the main purpose of art: mirroring reality vs setting new standards? Should humanist values have priority over technological development and scientific exploration even when they hold back new inventions? Is it possible to have moral absolutes in a constantly changing world? And how do businesses respond to the emergence of new imperatives? Let's look at this from the perspective of a businessman, a scientist and an art historian.</w:t>
      </w: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Moderator: Tutta Larsen, TV and Radio Host</w:t>
      </w:r>
    </w:p>
    <w:p w:rsidR="00000000" w:rsidDel="00000000" w:rsidP="00000000" w:rsidRDefault="00000000" w:rsidRPr="00000000" w14:paraId="00000028">
      <w:pPr>
        <w:spacing w:line="276"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Speakers:</w:t>
      </w:r>
    </w:p>
    <w:p w:rsidR="00000000" w:rsidDel="00000000" w:rsidP="00000000" w:rsidRDefault="00000000" w:rsidRPr="00000000" w14:paraId="00000029">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Alexey Likhachev, Director-General of Rosatom / Russia</w:t>
      </w:r>
    </w:p>
    <w:p w:rsidR="00000000" w:rsidDel="00000000" w:rsidP="00000000" w:rsidRDefault="00000000" w:rsidRPr="00000000" w14:paraId="0000002A">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Zelfira Tregulova, Director, State Tretyakov Gallery / Russia</w:t>
      </w:r>
    </w:p>
    <w:p w:rsidR="00000000" w:rsidDel="00000000" w:rsidP="00000000" w:rsidRDefault="00000000" w:rsidRPr="00000000" w14:paraId="0000002B">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Sergey Filonovich, Doctor of Physical and Mathematical Sciences; Head of the Graduate School of Business / Russia</w:t>
      </w:r>
    </w:p>
    <w:p w:rsidR="00000000" w:rsidDel="00000000" w:rsidP="00000000" w:rsidRDefault="00000000" w:rsidRPr="00000000" w14:paraId="0000002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numPr>
          <w:ilvl w:val="0"/>
          <w:numId w:val="4"/>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Roundtable: Changing Education to Change the World</w:t>
      </w:r>
    </w:p>
    <w:p w:rsidR="00000000" w:rsidDel="00000000" w:rsidP="00000000" w:rsidRDefault="00000000" w:rsidRPr="00000000" w14:paraId="0000002E">
      <w:pPr>
        <w:numPr>
          <w:ilvl w:val="0"/>
          <w:numId w:val="4"/>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Award ceremony: Contest of Innovation in Education</w:t>
      </w:r>
    </w:p>
    <w:p w:rsidR="00000000" w:rsidDel="00000000" w:rsidP="00000000" w:rsidRDefault="00000000" w:rsidRPr="00000000" w14:paraId="0000002F">
      <w:pPr>
        <w:numPr>
          <w:ilvl w:val="0"/>
          <w:numId w:val="4"/>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Public talk: The Corporate Jedi: HR trends in the JEDI World </w:t>
      </w:r>
      <w:r w:rsidDel="00000000" w:rsidR="00000000" w:rsidRPr="00000000">
        <w:rPr>
          <w:rFonts w:ascii="Arial" w:cs="Arial" w:eastAsia="Arial" w:hAnsi="Arial"/>
          <w:sz w:val="22"/>
          <w:szCs w:val="22"/>
          <w:highlight w:val="white"/>
          <w:rtl w:val="0"/>
        </w:rPr>
        <w:t xml:space="preserve">[Justice – Equity – Diversity – Inclusion]</w:t>
      </w:r>
    </w:p>
    <w:p w:rsidR="00000000" w:rsidDel="00000000" w:rsidP="00000000" w:rsidRDefault="00000000" w:rsidRPr="00000000" w14:paraId="00000030">
      <w:pPr>
        <w:spacing w:line="276" w:lineRule="auto"/>
        <w:ind w:left="72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1">
      <w:pPr>
        <w:spacing w:line="276" w:lineRule="auto"/>
        <w:ind w:left="72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Forming JEDI communities based on the principles of Justice, Equity, Diversity and Inclusion is a way of strengthening social dialogue mechanisms, and a key to a sustainable future. According to statistics, JEDI companies are better at attracting investment by 66 percent due to their reputation for offering a variety of solutions and ideas, which means a more viable company and a more stable economy. How can we build communications to unite different members of an academic, gender, teenage or corporate community? What tools can we use to promote a fair business environment, and what is the moral and economic cost of inaction?</w:t>
      </w:r>
    </w:p>
    <w:p w:rsidR="00000000" w:rsidDel="00000000" w:rsidP="00000000" w:rsidRDefault="00000000" w:rsidRPr="00000000" w14:paraId="00000032">
      <w:pPr>
        <w:spacing w:line="276" w:lineRule="auto"/>
        <w:ind w:left="72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3">
      <w:pPr>
        <w:spacing w:line="276" w:lineRule="auto"/>
        <w:ind w:left="72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Moderator:</w:t>
      </w:r>
    </w:p>
    <w:p w:rsidR="00000000" w:rsidDel="00000000" w:rsidP="00000000" w:rsidRDefault="00000000" w:rsidRPr="00000000" w14:paraId="00000034">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Lora Chkoniya, Researcher at the Institute for International Studies, MGIMO / Russia</w:t>
      </w:r>
    </w:p>
    <w:p w:rsidR="00000000" w:rsidDel="00000000" w:rsidP="00000000" w:rsidRDefault="00000000" w:rsidRPr="00000000" w14:paraId="00000035">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Olga Oreshnikova, CEO, Forbes Congress</w:t>
      </w:r>
    </w:p>
    <w:p w:rsidR="00000000" w:rsidDel="00000000" w:rsidP="00000000" w:rsidRDefault="00000000" w:rsidRPr="00000000" w14:paraId="00000036">
      <w:pPr>
        <w:spacing w:line="276" w:lineRule="auto"/>
        <w:ind w:left="72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7">
      <w:pPr>
        <w:spacing w:line="276" w:lineRule="auto"/>
        <w:ind w:left="720"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Speakers: </w:t>
      </w:r>
    </w:p>
    <w:p w:rsidR="00000000" w:rsidDel="00000000" w:rsidP="00000000" w:rsidRDefault="00000000" w:rsidRPr="00000000" w14:paraId="00000038">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Mehdi Azadvari, Director, Eurasia Economic Research Center / Iran</w:t>
      </w:r>
    </w:p>
    <w:p w:rsidR="00000000" w:rsidDel="00000000" w:rsidP="00000000" w:rsidRDefault="00000000" w:rsidRPr="00000000" w14:paraId="00000039">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Tatiana Terentyeva, Deputy Director General for HR, Rosatom/ Russia</w:t>
      </w:r>
    </w:p>
    <w:p w:rsidR="00000000" w:rsidDel="00000000" w:rsidP="00000000" w:rsidRDefault="00000000" w:rsidRPr="00000000" w14:paraId="0000003A">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Arpi Karapetyan, Chairman, Armenian HR Association/ Armenia</w:t>
      </w:r>
    </w:p>
    <w:p w:rsidR="00000000" w:rsidDel="00000000" w:rsidP="00000000" w:rsidRDefault="00000000" w:rsidRPr="00000000" w14:paraId="0000003B">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Hilal Al Jadidi, Chief Human Capital Officer, Oman Tourism Development Company (Omran)/ Oman (online)</w:t>
      </w:r>
    </w:p>
    <w:p w:rsidR="00000000" w:rsidDel="00000000" w:rsidP="00000000" w:rsidRDefault="00000000" w:rsidRPr="00000000" w14:paraId="0000003C">
      <w:pPr>
        <w:numPr>
          <w:ilvl w:val="1"/>
          <w:numId w:val="3"/>
        </w:numPr>
        <w:spacing w:line="276"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Zhang Renzhun, CEO, CIIC Shandong Human Resources Services Co / China pre-recorded</w:t>
      </w:r>
    </w:p>
    <w:p w:rsidR="00000000" w:rsidDel="00000000" w:rsidP="00000000" w:rsidRDefault="00000000" w:rsidRPr="00000000" w14:paraId="0000003D">
      <w:pPr>
        <w:spacing w:line="276" w:lineRule="auto"/>
        <w:ind w:left="72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E">
      <w:pPr>
        <w:numPr>
          <w:ilvl w:val="0"/>
          <w:numId w:val="4"/>
        </w:numPr>
        <w:spacing w:line="276"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Showcase: From AR to Web3. Shaping the Future of Education</w:t>
      </w:r>
    </w:p>
    <w:p w:rsidR="00000000" w:rsidDel="00000000" w:rsidP="00000000" w:rsidRDefault="00000000" w:rsidRPr="00000000" w14:paraId="0000003F">
      <w:pPr>
        <w:numPr>
          <w:ilvl w:val="0"/>
          <w:numId w:val="4"/>
        </w:numPr>
        <w:spacing w:line="276"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Keynotes: Women’s leadership</w:t>
      </w:r>
    </w:p>
    <w:p w:rsidR="00000000" w:rsidDel="00000000" w:rsidP="00000000" w:rsidRDefault="00000000" w:rsidRPr="00000000" w14:paraId="00000040">
      <w:pPr>
        <w:numPr>
          <w:ilvl w:val="0"/>
          <w:numId w:val="4"/>
        </w:numPr>
        <w:spacing w:line="276"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International dialogue: The Future is Female. </w:t>
      </w:r>
      <w:r w:rsidDel="00000000" w:rsidR="00000000" w:rsidRPr="00000000">
        <w:rPr>
          <w:rFonts w:ascii="Arial" w:cs="Arial" w:eastAsia="Arial" w:hAnsi="Arial"/>
          <w:sz w:val="22"/>
          <w:szCs w:val="22"/>
          <w:highlight w:val="white"/>
          <w:rtl w:val="0"/>
        </w:rPr>
        <w:t xml:space="preserve">STEMatization</w:t>
      </w:r>
      <w:r w:rsidDel="00000000" w:rsidR="00000000" w:rsidRPr="00000000">
        <w:rPr>
          <w:rtl w:val="0"/>
        </w:rPr>
      </w:r>
    </w:p>
    <w:p w:rsidR="00000000" w:rsidDel="00000000" w:rsidP="00000000" w:rsidRDefault="00000000" w:rsidRPr="00000000" w14:paraId="00000041">
      <w:pPr>
        <w:numPr>
          <w:ilvl w:val="0"/>
          <w:numId w:val="4"/>
        </w:numPr>
        <w:spacing w:line="276"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Keynote session: In or Out? Sustainability Expert, Science Artist, and Neurorobotics Engineer on the Future of Work</w:t>
      </w:r>
    </w:p>
    <w:p w:rsidR="00000000" w:rsidDel="00000000" w:rsidP="00000000" w:rsidRDefault="00000000" w:rsidRPr="00000000" w14:paraId="00000042">
      <w:pPr>
        <w:numPr>
          <w:ilvl w:val="0"/>
          <w:numId w:val="4"/>
        </w:numPr>
        <w:spacing w:line="276" w:lineRule="auto"/>
        <w:ind w:left="720"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Fireside chat: Green Career Pathways: Towards a Sustainable Future</w:t>
      </w:r>
    </w:p>
    <w:p w:rsidR="00000000" w:rsidDel="00000000" w:rsidP="00000000" w:rsidRDefault="00000000" w:rsidRPr="00000000" w14:paraId="00000043">
      <w:pP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4">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 addition</w:t>
      </w:r>
    </w:p>
    <w:p w:rsidR="00000000" w:rsidDel="00000000" w:rsidP="00000000" w:rsidRDefault="00000000" w:rsidRPr="00000000" w14:paraId="00000045">
      <w:pP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6">
      <w:pPr>
        <w:spacing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2022 is the pilot year of the Corporate Human Centricity Index research initiative. A presentation will feature a summary of the research results, case stories will be shared, and a discussion on how the human-centric approach can be adopted in educational processes will be held.</w:t>
      </w:r>
    </w:p>
    <w:p w:rsidR="00000000" w:rsidDel="00000000" w:rsidP="00000000" w:rsidRDefault="00000000" w:rsidRPr="00000000" w14:paraId="00000047">
      <w:pP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8">
      <w:pPr>
        <w:spacing w:line="276"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Partners of GIC 2022</w:t>
      </w:r>
    </w:p>
    <w:p w:rsidR="00000000" w:rsidDel="00000000" w:rsidP="00000000" w:rsidRDefault="00000000" w:rsidRPr="00000000" w14:paraId="0000004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Global Compact Russia - National Network of the UN Global Compact in Russia</w:t>
      </w:r>
    </w:p>
    <w:p w:rsidR="00000000" w:rsidDel="00000000" w:rsidP="00000000" w:rsidRDefault="00000000" w:rsidRPr="00000000" w14:paraId="0000004B">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Rosatom - State Atomic Energy Corporation, one of the global technology leaders</w:t>
      </w:r>
    </w:p>
    <w:p w:rsidR="00000000" w:rsidDel="00000000" w:rsidP="00000000" w:rsidRDefault="00000000" w:rsidRPr="00000000" w14:paraId="0000004C">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Forbes - a financial and economic magazine, it is No.1 in terms of citation among magazines in Russia in the Medialogy rating</w:t>
      </w:r>
    </w:p>
    <w:p w:rsidR="00000000" w:rsidDel="00000000" w:rsidP="00000000" w:rsidRDefault="00000000" w:rsidRPr="00000000" w14:paraId="0000004D">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HSE University - Higher School of Economics, one of the largest universities in Russia</w:t>
      </w:r>
    </w:p>
    <w:p w:rsidR="00000000" w:rsidDel="00000000" w:rsidP="00000000" w:rsidRDefault="00000000" w:rsidRPr="00000000" w14:paraId="0000004E">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Al-Masry Al-Youm - a daily newspaper, website and app, the largest circulation independent newspaper in the Egyptian market</w:t>
      </w:r>
    </w:p>
    <w:p w:rsidR="00000000" w:rsidDel="00000000" w:rsidP="00000000" w:rsidRDefault="00000000" w:rsidRPr="00000000" w14:paraId="0000004F">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Attaqa - a media, research and consulting platform for the energy markets in Arab countries</w:t>
      </w:r>
    </w:p>
    <w:p w:rsidR="00000000" w:rsidDel="00000000" w:rsidP="00000000" w:rsidRDefault="00000000" w:rsidRPr="00000000" w14:paraId="00000050">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Eurasia Development (ED) - the largest company in China that provides services in the field of innovation consulting and technology transfer</w:t>
      </w:r>
    </w:p>
    <w:p w:rsidR="00000000" w:rsidDel="00000000" w:rsidP="00000000" w:rsidRDefault="00000000" w:rsidRPr="00000000" w14:paraId="00000051">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Times Now - an English news channel in India owned and operated by the Times Group in partnership with Reuters</w:t>
      </w:r>
    </w:p>
    <w:p w:rsidR="00000000" w:rsidDel="00000000" w:rsidP="00000000" w:rsidRDefault="00000000" w:rsidRPr="00000000" w14:paraId="00000052">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Laboratory for Educational Innovation at the Higher School of Economics</w:t>
      </w:r>
    </w:p>
    <w:p w:rsidR="00000000" w:rsidDel="00000000" w:rsidP="00000000" w:rsidRDefault="00000000" w:rsidRPr="00000000" w14:paraId="00000053">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Rossiyskaya Gazeta - the official newspaper of the Government of the Russian Federation</w:t>
      </w:r>
    </w:p>
    <w:p w:rsidR="00000000" w:rsidDel="00000000" w:rsidP="00000000" w:rsidRDefault="00000000" w:rsidRPr="00000000" w14:paraId="00000054">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Izvestia - a Soviet and Russian socio-political and business daily newspaper founded in January 1917</w:t>
      </w:r>
    </w:p>
    <w:p w:rsidR="00000000" w:rsidDel="00000000" w:rsidP="00000000" w:rsidRDefault="00000000" w:rsidRPr="00000000" w14:paraId="00000055">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Mission Impact - a program of Rosatom Corporation that support projects and communities that contribute to global progress</w:t>
      </w:r>
    </w:p>
    <w:p w:rsidR="00000000" w:rsidDel="00000000" w:rsidP="00000000" w:rsidRDefault="00000000" w:rsidRPr="00000000" w14:paraId="00000056">
      <w:pPr>
        <w:numPr>
          <w:ilvl w:val="0"/>
          <w:numId w:val="5"/>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Chamber of Commerce and Industry of the Russian Federation for Sustainable Business Development, CSR and Volunteering - a community of experts on the ESG agenda and issues of sustainable business development</w:t>
      </w:r>
    </w:p>
    <w:p w:rsidR="00000000" w:rsidDel="00000000" w:rsidP="00000000" w:rsidRDefault="00000000" w:rsidRPr="00000000" w14:paraId="00000057">
      <w:pPr>
        <w:spacing w:line="276" w:lineRule="auto"/>
        <w:jc w:val="both"/>
        <w:rPr>
          <w:rFonts w:ascii="Arial" w:cs="Arial" w:eastAsia="Arial" w:hAnsi="Arial"/>
          <w:sz w:val="32"/>
          <w:szCs w:val="32"/>
          <w:highlight w:val="white"/>
        </w:rPr>
      </w:pPr>
      <w:r w:rsidDel="00000000" w:rsidR="00000000" w:rsidRPr="00000000">
        <w:rPr>
          <w:rtl w:val="0"/>
        </w:rPr>
      </w:r>
    </w:p>
    <w:p w:rsidR="00000000" w:rsidDel="00000000" w:rsidP="00000000" w:rsidRDefault="00000000" w:rsidRPr="00000000" w14:paraId="00000058">
      <w:pPr>
        <w:spacing w:line="276" w:lineRule="auto"/>
        <w:jc w:val="both"/>
        <w:rPr>
          <w:rFonts w:ascii="Arial" w:cs="Arial" w:eastAsia="Arial" w:hAnsi="Arial"/>
          <w:sz w:val="32"/>
          <w:szCs w:val="32"/>
          <w:highlight w:val="white"/>
        </w:rPr>
      </w:pPr>
      <w:r w:rsidDel="00000000" w:rsidR="00000000" w:rsidRPr="00000000">
        <w:rPr>
          <w:rFonts w:ascii="Arial" w:cs="Arial" w:eastAsia="Arial" w:hAnsi="Arial"/>
          <w:sz w:val="32"/>
          <w:szCs w:val="32"/>
          <w:highlight w:val="white"/>
          <w:rtl w:val="0"/>
        </w:rPr>
        <w:t xml:space="preserve">PR contacts</w:t>
      </w:r>
    </w:p>
    <w:p w:rsidR="00000000" w:rsidDel="00000000" w:rsidP="00000000" w:rsidRDefault="00000000" w:rsidRPr="00000000" w14:paraId="00000059">
      <w:pPr>
        <w:spacing w:line="276" w:lineRule="auto"/>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Tel: 8 (989) 580-15-45</w:t>
      </w:r>
    </w:p>
    <w:p w:rsidR="00000000" w:rsidDel="00000000" w:rsidP="00000000" w:rsidRDefault="00000000" w:rsidRPr="00000000" w14:paraId="0000005B">
      <w:pPr>
        <w:jc w:val="both"/>
        <w:rPr>
          <w:rFonts w:ascii="Arial" w:cs="Arial" w:eastAsia="Arial" w:hAnsi="Arial"/>
          <w:sz w:val="22"/>
          <w:szCs w:val="22"/>
          <w:highlight w:val="white"/>
        </w:rPr>
      </w:pPr>
      <w:r w:rsidDel="00000000" w:rsidR="00000000" w:rsidRPr="00000000">
        <w:rPr>
          <w:rFonts w:ascii="Arial" w:cs="Arial" w:eastAsia="Arial" w:hAnsi="Arial"/>
          <w:rtl w:val="0"/>
        </w:rPr>
        <w:t xml:space="preserve">Е-mail: pr@impactconference.global</w:t>
      </w:r>
      <w:r w:rsidDel="00000000" w:rsidR="00000000" w:rsidRPr="00000000">
        <w:rPr>
          <w:rtl w:val="0"/>
        </w:rPr>
      </w:r>
    </w:p>
    <w:p w:rsidR="00000000" w:rsidDel="00000000" w:rsidP="00000000" w:rsidRDefault="00000000" w:rsidRPr="00000000" w14:paraId="0000005C">
      <w:pPr>
        <w:ind w:left="-284" w:firstLine="0"/>
        <w:jc w:val="both"/>
        <w:rPr/>
      </w:pPr>
      <w:r w:rsidDel="00000000" w:rsidR="00000000" w:rsidRPr="00000000">
        <w:rPr>
          <w:rtl w:val="0"/>
        </w:rPr>
      </w:r>
    </w:p>
    <w:p w:rsidR="00000000" w:rsidDel="00000000" w:rsidP="00000000" w:rsidRDefault="00000000" w:rsidRPr="00000000" w14:paraId="0000005D">
      <w:pPr>
        <w:ind w:left="-284" w:firstLine="0"/>
        <w:jc w:val="both"/>
        <w:rPr/>
      </w:pPr>
      <w:r w:rsidDel="00000000" w:rsidR="00000000" w:rsidRPr="00000000">
        <w:rPr>
          <w:rtl w:val="0"/>
        </w:rPr>
      </w:r>
    </w:p>
    <w:p w:rsidR="00000000" w:rsidDel="00000000" w:rsidP="00000000" w:rsidRDefault="00000000" w:rsidRPr="00000000" w14:paraId="0000005E">
      <w:pPr>
        <w:ind w:left="-284" w:firstLine="0"/>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560" w:left="1701" w:right="850" w:header="708" w:footer="1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77"/>
        <w:tab w:val="right" w:pos="9355"/>
      </w:tabs>
      <w:ind w:left="-1701" w:firstLine="0"/>
      <w:rPr>
        <w:color w:val="000000"/>
      </w:rPr>
    </w:pPr>
    <w:r w:rsidDel="00000000" w:rsidR="00000000" w:rsidRPr="00000000">
      <w:rPr>
        <w:color w:val="000000"/>
      </w:rPr>
      <w:drawing>
        <wp:inline distB="0" distT="0" distL="0" distR="0">
          <wp:extent cx="7429500" cy="1060875"/>
          <wp:effectExtent b="0" l="0" r="0" t="0"/>
          <wp:docPr id="9" name="image2.jpg"/>
          <a:graphic>
            <a:graphicData uri="http://schemas.openxmlformats.org/drawingml/2006/picture">
              <pic:pic>
                <pic:nvPicPr>
                  <pic:cNvPr id="0" name="image2.jpg"/>
                  <pic:cNvPicPr preferRelativeResize="0"/>
                </pic:nvPicPr>
                <pic:blipFill>
                  <a:blip r:embed="rId1"/>
                  <a:srcRect b="11985" l="0" r="0" t="23421"/>
                  <a:stretch>
                    <a:fillRect/>
                  </a:stretch>
                </pic:blipFill>
                <pic:spPr>
                  <a:xfrm>
                    <a:off x="0" y="0"/>
                    <a:ext cx="7429500" cy="106087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1D6A9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C85FF4"/>
    <w:pPr>
      <w:tabs>
        <w:tab w:val="center" w:pos="4677"/>
        <w:tab w:val="right" w:pos="9355"/>
      </w:tabs>
    </w:pPr>
  </w:style>
  <w:style w:type="character" w:styleId="a5" w:customStyle="1">
    <w:name w:val="Верхний колонтитул Знак"/>
    <w:basedOn w:val="a0"/>
    <w:link w:val="a4"/>
    <w:uiPriority w:val="99"/>
    <w:rsid w:val="00C85FF4"/>
  </w:style>
  <w:style w:type="paragraph" w:styleId="a6">
    <w:name w:val="footer"/>
    <w:basedOn w:val="a"/>
    <w:link w:val="a7"/>
    <w:uiPriority w:val="99"/>
    <w:unhideWhenUsed w:val="1"/>
    <w:rsid w:val="00C85FF4"/>
    <w:pPr>
      <w:tabs>
        <w:tab w:val="center" w:pos="4677"/>
        <w:tab w:val="right" w:pos="9355"/>
      </w:tabs>
    </w:pPr>
  </w:style>
  <w:style w:type="character" w:styleId="a7" w:customStyle="1">
    <w:name w:val="Нижний колонтитул Знак"/>
    <w:basedOn w:val="a0"/>
    <w:link w:val="a6"/>
    <w:uiPriority w:val="99"/>
    <w:rsid w:val="00C85F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vhjpKgvwUDTushNgrW3ayTx1w==">AMUW2mWH2AmjnCbYBILE+UbZx7Xw+SQAMF8OAW46Zl5HDhXWzWd8sB05sZQTfkPFcvz0A/rojB9/3sgn+46KitGcBGbLGDwwm2DKgI6noKZtCGTOmV21uo0=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2022-10-13T12:02:00Z</dcterms:created>
  <dc:creator>Microsoft Office User</dc:creator>
</cp:coreProperties>
</file>